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5-84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д.9, каб. 30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ч.1 ст. 12.34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начальника участка № 1 филиала № 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Сайдаева Заура Вахитовича, </w:t>
      </w:r>
      <w:r>
        <w:rPr>
          <w:rStyle w:val="cat-UserDefinedgrp-42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23.12.2025 в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учас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ка № 1 филиала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Сайдаев З.В.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должностным лицом, не выполнил требования п. 2 ст. 12 Федерального закона от 10.12.1995 года № 196-ФЗ «О безопасности дорожного движения» 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6"/>
          <w:szCs w:val="26"/>
        </w:rPr>
        <w:t>участка автомобильной дороги «</w:t>
      </w:r>
      <w:r>
        <w:rPr>
          <w:rFonts w:ascii="Times New Roman" w:eastAsia="Times New Roman" w:hAnsi="Times New Roman" w:cs="Times New Roman"/>
          <w:sz w:val="26"/>
          <w:szCs w:val="26"/>
        </w:rPr>
        <w:t>Нового мостового перехода через р. Обь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выполнил требования по обеспечению безопасности дорожного движения при содержании вышеуказанной автомобильной дороги,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>на 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км. </w:t>
      </w:r>
      <w:r>
        <w:rPr>
          <w:rFonts w:ascii="Times New Roman" w:eastAsia="Times New Roman" w:hAnsi="Times New Roman" w:cs="Times New Roman"/>
          <w:sz w:val="26"/>
          <w:szCs w:val="26"/>
        </w:rPr>
        <w:t>автомобильной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Нового мостового перехода через р. Обь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краткосрочных работ по уборке снега без автомобиля прикрытия на задней части дорожной машины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отсутствовали соответствующие дорожные знаки 4.2.1 – 4.2.3 участники дорожного движения не проинформированы об опасности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6.1.1.2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58350-2019 «Дороги автомобильные общего пользования. Технические средства организации дородного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в местах производства дорог. Технические требования. Правила применения.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п.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Министров- Правительства РФ от 23.10.193 № 1090.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Сайдаев З.В.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Сайдаева З.В.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приходит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ст.12 Федерального закона от 10 декабря 1995 г. № 196-ФЗ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 безопасности дорожного движения» ремонт и содержание дорог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№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 п.п.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 Правительства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23 октября 1993 г.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информировать участников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вводимых ограничениях и об изменениях в организации дорожного движения с помощью соответствующих технических средств, информационных щитов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принимать меры к своевременному устранению помех для движения, запрещению или ограничению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6.1.1.2 </w:t>
      </w:r>
      <w:r>
        <w:rPr>
          <w:rFonts w:ascii="Times New Roman" w:eastAsia="Times New Roman" w:hAnsi="Times New Roman" w:cs="Times New Roman"/>
          <w:sz w:val="26"/>
          <w:szCs w:val="26"/>
        </w:rPr>
        <w:t>ГОСТ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58350-2019 «Дороги автомобильные общего пользования. Технические средства организации дородного движения в местах производства дорог. Технические требования. Правила применения.»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производстве краткосрочных работ без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2265400/entry/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автомобиля прикрытия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 задней части дорожной машины размещают один из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404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знаков 4.2.1-4.2.3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дополнительно можно применять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1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знаки 1.25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3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111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111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911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91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1.20.2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91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1.20.3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 Допускается применять знаки 4.2.1-4.2.3 со световой индикацией. Очередность размещения знаков разных групп -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2265400/entry/54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5.4.4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при этом расстояние от нижнего края знака, размещенного на дорожной машине, до поверхности дорожного покрытия (высота установки) должно быть не менее 1,0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нанесении осевых линий разметки на передней части дорожной машины рекомендуется размещать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404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знаки 4.2.1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305770/entry/404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4.2.2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Сайдаева З.В.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 о времени и месте составления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Сайдаева З.В.</w:t>
      </w:r>
      <w:r>
        <w:rPr>
          <w:rFonts w:ascii="Times New Roman" w:eastAsia="Times New Roman" w:hAnsi="Times New Roman" w:cs="Times New Roman"/>
          <w:sz w:val="26"/>
          <w:szCs w:val="26"/>
        </w:rPr>
        <w:t>, решением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постоянного рейда, дислокацией дорожных знаков и разметки, свидетельством о поверке, протоколом инструментального обследования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23.12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справкой от </w:t>
      </w:r>
      <w:r>
        <w:rPr>
          <w:rFonts w:ascii="Times New Roman" w:eastAsia="Times New Roman" w:hAnsi="Times New Roman" w:cs="Times New Roman"/>
          <w:sz w:val="26"/>
          <w:szCs w:val="26"/>
        </w:rPr>
        <w:t>24.12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копией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начальника участка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устава </w:t>
      </w:r>
      <w:r>
        <w:rPr>
          <w:rStyle w:val="cat-UserDefinedgrp-47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приказа о</w:t>
      </w:r>
      <w:r>
        <w:rPr>
          <w:rFonts w:ascii="Times New Roman" w:eastAsia="Times New Roman" w:hAnsi="Times New Roman" w:cs="Times New Roman"/>
          <w:sz w:val="26"/>
          <w:szCs w:val="26"/>
        </w:rPr>
        <w:t>б использовании АТС КДМ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электронного паспорта ТС, копией свидетельства о регистр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договора № 1-04/22/79 от 17.10.2025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Сайдаева З.В.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Сайдаева З.В.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12.34 КоАП РФ – несоблюдение требований по обеспечению безопасности дорожного движения при </w:t>
      </w:r>
      <w:r>
        <w:rPr>
          <w:rFonts w:ascii="Times New Roman" w:eastAsia="Times New Roman" w:hAnsi="Times New Roman" w:cs="Times New Roman"/>
          <w:sz w:val="26"/>
          <w:szCs w:val="26"/>
        </w:rPr>
        <w:t>содержании дорог, железнодорожных переездов или других дорожных сооружений, если пользование такими участками угрожает безопасности дорожного движения.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в виде административного штрафа в размере менее минимального размера,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ч.3.2, 3.3 ст.4.1 КоАП РФ,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Сайдаева Заура Вахитовича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двадцати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КБК 18811601123010001140;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17305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уплате в течение 60 дней с даты вступления постановления в законную силу, копия квитанции предоставляется в 105 каб.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7">
    <w:name w:val="cat-UserDefined grp-44 rplc-7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UserDefinedgrp-43rplc-20">
    <w:name w:val="cat-UserDefined grp-43 rplc-20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43">
    <w:name w:val="cat-UserDefined grp-46 rplc-43"/>
    <w:basedOn w:val="DefaultParagraphFont"/>
  </w:style>
  <w:style w:type="character" w:customStyle="1" w:styleId="cat-UserDefinedgrp-47rplc-45">
    <w:name w:val="cat-UserDefined grp-47 rplc-45"/>
    <w:basedOn w:val="DefaultParagraphFont"/>
  </w:style>
  <w:style w:type="character" w:customStyle="1" w:styleId="cat-UserDefinedgrp-46rplc-47">
    <w:name w:val="cat-UserDefined grp-4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